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75EBC5" w14:textId="77777777" w:rsidR="00562DE4" w:rsidRPr="00420BE0" w:rsidRDefault="00562DE4" w:rsidP="00562DE4">
      <w:pPr>
        <w:pStyle w:val="Heading2"/>
        <w:rPr>
          <w:rFonts w:ascii="Garamond" w:hAnsi="Garamond"/>
          <w:b/>
          <w:color w:val="auto"/>
          <w:lang w:val="en-US"/>
        </w:rPr>
      </w:pPr>
      <w:bookmarkStart w:id="0" w:name="_Toc8145008"/>
      <w:bookmarkStart w:id="1" w:name="_GoBack"/>
      <w:bookmarkEnd w:id="1"/>
      <w:r w:rsidRPr="00420BE0">
        <w:rPr>
          <w:rFonts w:ascii="Garamond" w:hAnsi="Garamond"/>
          <w:b/>
          <w:color w:val="auto"/>
          <w:lang w:val="en-US"/>
        </w:rPr>
        <w:t xml:space="preserve">ANNEX </w:t>
      </w:r>
      <w:r>
        <w:rPr>
          <w:rFonts w:ascii="Garamond" w:hAnsi="Garamond"/>
          <w:b/>
          <w:color w:val="auto"/>
          <w:lang w:val="en-US"/>
        </w:rPr>
        <w:t>G</w:t>
      </w:r>
      <w:r w:rsidRPr="00420BE0">
        <w:rPr>
          <w:rFonts w:ascii="Garamond" w:hAnsi="Garamond"/>
          <w:b/>
          <w:color w:val="auto"/>
          <w:lang w:val="en-US"/>
        </w:rPr>
        <w:t xml:space="preserve">. </w:t>
      </w:r>
      <w:r>
        <w:rPr>
          <w:rFonts w:ascii="Garamond" w:hAnsi="Garamond"/>
          <w:b/>
          <w:color w:val="auto"/>
          <w:lang w:val="en-US"/>
        </w:rPr>
        <w:t>Gender Analysis</w:t>
      </w:r>
      <w:bookmarkEnd w:id="0"/>
    </w:p>
    <w:p w14:paraId="6EE2C778" w14:textId="77777777" w:rsidR="00562DE4" w:rsidRPr="00424E41" w:rsidRDefault="00562DE4" w:rsidP="00562DE4">
      <w:pPr>
        <w:pStyle w:val="NormalWeb"/>
        <w:spacing w:line="259" w:lineRule="auto"/>
        <w:jc w:val="both"/>
        <w:rPr>
          <w:rFonts w:ascii="Garamond" w:hAnsi="Garamond"/>
          <w:b/>
          <w:i/>
          <w:iCs/>
          <w:lang w:val="en-US"/>
        </w:rPr>
      </w:pPr>
      <w:r w:rsidRPr="00424E41">
        <w:rPr>
          <w:rFonts w:ascii="Garamond" w:hAnsi="Garamond"/>
          <w:b/>
          <w:i/>
          <w:iCs/>
          <w:lang w:val="en-US"/>
        </w:rPr>
        <w:t xml:space="preserve">Baseline conditions: </w:t>
      </w:r>
    </w:p>
    <w:p w14:paraId="0D0B3DCF" w14:textId="77777777" w:rsidR="00562DE4" w:rsidRPr="00653CEA" w:rsidRDefault="00562DE4" w:rsidP="00562DE4">
      <w:pPr>
        <w:rPr>
          <w:rFonts w:ascii="Garamond" w:hAnsi="Garamond"/>
          <w:b/>
          <w:shd w:val="clear" w:color="auto" w:fill="FFFFFF"/>
          <w:lang w:val="en-US"/>
        </w:rPr>
      </w:pPr>
      <w:bookmarkStart w:id="2" w:name="_Toc7103819"/>
      <w:bookmarkStart w:id="3" w:name="_Toc7965737"/>
      <w:bookmarkStart w:id="4" w:name="_Toc8145009"/>
      <w:r w:rsidRPr="00653CEA">
        <w:rPr>
          <w:rFonts w:ascii="Garamond" w:hAnsi="Garamond"/>
          <w:b/>
          <w:shd w:val="clear" w:color="auto" w:fill="FFFFFF"/>
          <w:lang w:val="en-US"/>
        </w:rPr>
        <w:t>Belarus</w:t>
      </w:r>
      <w:bookmarkEnd w:id="2"/>
      <w:bookmarkEnd w:id="3"/>
      <w:bookmarkEnd w:id="4"/>
    </w:p>
    <w:p w14:paraId="034EE161" w14:textId="77777777" w:rsidR="00562DE4" w:rsidRPr="005E30D2" w:rsidRDefault="00562DE4" w:rsidP="00562DE4">
      <w:pPr>
        <w:rPr>
          <w:lang w:val="en-US" w:bidi="mr-IN"/>
        </w:rPr>
      </w:pPr>
    </w:p>
    <w:p w14:paraId="0428FC0A" w14:textId="77777777" w:rsidR="00562DE4" w:rsidRPr="00332F47" w:rsidRDefault="00562DE4" w:rsidP="00562DE4">
      <w:pPr>
        <w:autoSpaceDE w:val="0"/>
        <w:autoSpaceDN w:val="0"/>
        <w:adjustRightInd w:val="0"/>
        <w:spacing w:line="259" w:lineRule="auto"/>
        <w:jc w:val="both"/>
        <w:rPr>
          <w:rFonts w:ascii="Garamond" w:hAnsi="Garamond"/>
          <w:lang w:val="en-US" w:bidi="mr-IN"/>
        </w:rPr>
      </w:pPr>
      <w:r w:rsidRPr="00332F47">
        <w:rPr>
          <w:rFonts w:ascii="Garamond" w:hAnsi="Garamond"/>
          <w:lang w:val="en-US" w:bidi="mr-IN"/>
        </w:rPr>
        <w:t xml:space="preserve">Universally recognized international standards are the basis of the gender policy in the Republic of Belarus. Belarus signed and ratified a number of UN documents, assuming the responsibilities to implement decisions aimed at protecting women's interests and ensuring gender equality. </w:t>
      </w:r>
      <w:r w:rsidRPr="00332F47">
        <w:rPr>
          <w:rFonts w:ascii="Garamond" w:hAnsi="Garamond" w:cs="Calibri"/>
          <w:shd w:val="clear" w:color="auto" w:fill="FFFFFF"/>
          <w:lang w:val="en-US"/>
        </w:rPr>
        <w:t>Belarus ranks 30th in the gender equality index (in t</w:t>
      </w:r>
      <w:r w:rsidRPr="00332F47">
        <w:rPr>
          <w:rFonts w:ascii="Garamond" w:hAnsi="Garamond" w:cs="Calibri"/>
          <w:lang w:val="en-US"/>
        </w:rPr>
        <w:t>he ranking among 144 countries) a</w:t>
      </w:r>
      <w:r w:rsidRPr="00332F47">
        <w:rPr>
          <w:rFonts w:ascii="Garamond" w:hAnsi="Garamond" w:cs="Calibri"/>
          <w:shd w:val="clear" w:color="auto" w:fill="FFFFFF"/>
          <w:lang w:val="en-US"/>
        </w:rPr>
        <w:t xml:space="preserve">ccording to the Global Gender Gap Report for 2016, presented by the World Economic Forum. </w:t>
      </w:r>
      <w:r w:rsidRPr="00332F47">
        <w:rPr>
          <w:rFonts w:ascii="Garamond" w:hAnsi="Garamond"/>
          <w:lang w:val="en-US"/>
        </w:rPr>
        <w:t>On February 17, 2017, the Council of Ministers of the Republic of Belarus approved the fifth National Action Plan on Gender Equality in the Republic of Belarus for 2017-2020, which is the main unified document on the implementation of the gender policy in the country. The aim of the National Plan is to develop mechanisms for the introduction of a gender approach in the process of developing and implementing measures for national policy in various spheres of society.</w:t>
      </w:r>
    </w:p>
    <w:p w14:paraId="3359CF26" w14:textId="77777777" w:rsidR="00562DE4" w:rsidRPr="00332F47" w:rsidRDefault="00562DE4" w:rsidP="00562DE4">
      <w:pPr>
        <w:autoSpaceDE w:val="0"/>
        <w:autoSpaceDN w:val="0"/>
        <w:adjustRightInd w:val="0"/>
        <w:spacing w:line="259" w:lineRule="auto"/>
        <w:jc w:val="both"/>
        <w:rPr>
          <w:rFonts w:ascii="Garamond" w:hAnsi="Garamond"/>
          <w:lang w:val="en-US" w:bidi="mr-IN"/>
        </w:rPr>
      </w:pPr>
    </w:p>
    <w:p w14:paraId="176CA22A" w14:textId="77777777" w:rsidR="00562DE4" w:rsidRPr="00332F47" w:rsidRDefault="00562DE4" w:rsidP="00562DE4">
      <w:pPr>
        <w:autoSpaceDE w:val="0"/>
        <w:autoSpaceDN w:val="0"/>
        <w:adjustRightInd w:val="0"/>
        <w:spacing w:line="259" w:lineRule="auto"/>
        <w:jc w:val="both"/>
        <w:rPr>
          <w:rFonts w:ascii="Garamond" w:hAnsi="Garamond" w:cs="Calibri"/>
          <w:color w:val="111111"/>
          <w:lang w:val="en-US"/>
        </w:rPr>
      </w:pPr>
      <w:r w:rsidRPr="00332F47">
        <w:rPr>
          <w:rFonts w:ascii="Garamond" w:hAnsi="Garamond"/>
          <w:lang w:val="en-US" w:bidi="mr-IN"/>
        </w:rPr>
        <w:t xml:space="preserve">Table 1 - </w:t>
      </w:r>
      <w:r w:rsidRPr="00332F47">
        <w:rPr>
          <w:rFonts w:ascii="Garamond" w:hAnsi="Garamond" w:cs="Calibri"/>
          <w:color w:val="111111"/>
          <w:lang w:val="en-US"/>
        </w:rPr>
        <w:t>Gender equity indexes of Belarus in 2016 in comparison with 2007</w:t>
      </w:r>
    </w:p>
    <w:tbl>
      <w:tblPr>
        <w:tblW w:w="88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5" w:type="dxa"/>
          <w:left w:w="15" w:type="dxa"/>
          <w:bottom w:w="15" w:type="dxa"/>
          <w:right w:w="15" w:type="dxa"/>
        </w:tblCellMar>
        <w:tblLook w:val="00A0" w:firstRow="1" w:lastRow="0" w:firstColumn="1" w:lastColumn="0" w:noHBand="0" w:noVBand="0"/>
      </w:tblPr>
      <w:tblGrid>
        <w:gridCol w:w="5563"/>
        <w:gridCol w:w="1378"/>
        <w:gridCol w:w="1883"/>
      </w:tblGrid>
      <w:tr w:rsidR="00562DE4" w:rsidRPr="00332F47" w14:paraId="38C4A55B" w14:textId="77777777" w:rsidTr="00D10C67">
        <w:trPr>
          <w:jc w:val="center"/>
        </w:trPr>
        <w:tc>
          <w:tcPr>
            <w:tcW w:w="5563" w:type="dxa"/>
            <w:shd w:val="clear" w:color="auto" w:fill="D9E2F3" w:themeFill="accent1" w:themeFillTint="33"/>
            <w:tcMar>
              <w:top w:w="90" w:type="dxa"/>
              <w:left w:w="150" w:type="dxa"/>
              <w:bottom w:w="90" w:type="dxa"/>
              <w:right w:w="150" w:type="dxa"/>
            </w:tcMar>
            <w:vAlign w:val="center"/>
          </w:tcPr>
          <w:p w14:paraId="3D95E6C8" w14:textId="77777777" w:rsidR="00562DE4" w:rsidRPr="00332F47" w:rsidRDefault="00562DE4" w:rsidP="00D10C67">
            <w:pPr>
              <w:autoSpaceDE w:val="0"/>
              <w:autoSpaceDN w:val="0"/>
              <w:adjustRightInd w:val="0"/>
              <w:spacing w:line="276" w:lineRule="auto"/>
              <w:jc w:val="both"/>
              <w:rPr>
                <w:rFonts w:ascii="Garamond" w:hAnsi="Garamond" w:cs="Helvetica-Bold"/>
                <w:b/>
                <w:bCs/>
                <w:color w:val="323232"/>
                <w:lang w:val="en-US" w:bidi="mr-IN"/>
              </w:rPr>
            </w:pPr>
            <w:r w:rsidRPr="00332F47">
              <w:rPr>
                <w:rStyle w:val="Strong"/>
                <w:rFonts w:ascii="Garamond" w:hAnsi="Garamond" w:cs="Calibri"/>
                <w:color w:val="111111"/>
                <w:bdr w:val="none" w:sz="0" w:space="0" w:color="auto" w:frame="1"/>
                <w:lang w:val="en-US"/>
              </w:rPr>
              <w:t>Sphere/ Rank</w:t>
            </w:r>
          </w:p>
        </w:tc>
        <w:tc>
          <w:tcPr>
            <w:tcW w:w="1378" w:type="dxa"/>
            <w:shd w:val="clear" w:color="auto" w:fill="D9E2F3" w:themeFill="accent1" w:themeFillTint="33"/>
            <w:tcMar>
              <w:top w:w="90" w:type="dxa"/>
              <w:left w:w="150" w:type="dxa"/>
              <w:bottom w:w="90" w:type="dxa"/>
              <w:right w:w="150" w:type="dxa"/>
            </w:tcMar>
            <w:vAlign w:val="center"/>
          </w:tcPr>
          <w:p w14:paraId="3AC36DB9" w14:textId="77777777" w:rsidR="00562DE4" w:rsidRPr="00332F47" w:rsidRDefault="00562DE4" w:rsidP="00D10C67">
            <w:pPr>
              <w:spacing w:line="276" w:lineRule="auto"/>
              <w:jc w:val="both"/>
              <w:rPr>
                <w:rFonts w:ascii="Garamond" w:hAnsi="Garamond" w:cs="Calibri"/>
                <w:b/>
                <w:bCs/>
                <w:color w:val="111111"/>
                <w:lang w:val="en-US"/>
              </w:rPr>
            </w:pPr>
            <w:r w:rsidRPr="00332F47">
              <w:rPr>
                <w:rStyle w:val="Strong"/>
                <w:rFonts w:ascii="Garamond" w:hAnsi="Garamond" w:cs="Calibri"/>
                <w:color w:val="111111"/>
                <w:bdr w:val="none" w:sz="0" w:space="0" w:color="auto" w:frame="1"/>
                <w:lang w:val="en-US"/>
              </w:rPr>
              <w:t>2016</w:t>
            </w:r>
          </w:p>
        </w:tc>
        <w:tc>
          <w:tcPr>
            <w:tcW w:w="1883" w:type="dxa"/>
            <w:shd w:val="clear" w:color="auto" w:fill="D9E2F3" w:themeFill="accent1" w:themeFillTint="33"/>
            <w:tcMar>
              <w:top w:w="90" w:type="dxa"/>
              <w:left w:w="150" w:type="dxa"/>
              <w:bottom w:w="90" w:type="dxa"/>
              <w:right w:w="150" w:type="dxa"/>
            </w:tcMar>
            <w:vAlign w:val="center"/>
          </w:tcPr>
          <w:p w14:paraId="765512F1" w14:textId="77777777" w:rsidR="00562DE4" w:rsidRPr="00332F47" w:rsidRDefault="00562DE4" w:rsidP="00D10C67">
            <w:pPr>
              <w:spacing w:line="276" w:lineRule="auto"/>
              <w:jc w:val="both"/>
              <w:rPr>
                <w:rFonts w:ascii="Garamond" w:hAnsi="Garamond" w:cs="Calibri"/>
                <w:b/>
                <w:bCs/>
                <w:color w:val="111111"/>
                <w:lang w:val="en-US"/>
              </w:rPr>
            </w:pPr>
            <w:r w:rsidRPr="00332F47">
              <w:rPr>
                <w:rStyle w:val="Strong"/>
                <w:rFonts w:ascii="Garamond" w:hAnsi="Garamond" w:cs="Calibri"/>
                <w:color w:val="111111"/>
                <w:bdr w:val="none" w:sz="0" w:space="0" w:color="auto" w:frame="1"/>
                <w:lang w:val="en-US"/>
              </w:rPr>
              <w:t>2007</w:t>
            </w:r>
          </w:p>
        </w:tc>
      </w:tr>
      <w:tr w:rsidR="00562DE4" w:rsidRPr="00332F47" w14:paraId="5F001876" w14:textId="77777777" w:rsidTr="00D10C67">
        <w:trPr>
          <w:jc w:val="center"/>
        </w:trPr>
        <w:tc>
          <w:tcPr>
            <w:tcW w:w="5563" w:type="dxa"/>
            <w:shd w:val="clear" w:color="auto" w:fill="FFFFFF"/>
            <w:tcMar>
              <w:top w:w="90" w:type="dxa"/>
              <w:left w:w="150" w:type="dxa"/>
              <w:bottom w:w="90" w:type="dxa"/>
              <w:right w:w="150" w:type="dxa"/>
            </w:tcMar>
            <w:vAlign w:val="center"/>
          </w:tcPr>
          <w:p w14:paraId="6B086CFF" w14:textId="77777777" w:rsidR="00562DE4" w:rsidRPr="00332F47" w:rsidRDefault="00562DE4" w:rsidP="00D10C67">
            <w:pPr>
              <w:autoSpaceDE w:val="0"/>
              <w:autoSpaceDN w:val="0"/>
              <w:adjustRightInd w:val="0"/>
              <w:spacing w:line="276" w:lineRule="auto"/>
              <w:jc w:val="both"/>
              <w:rPr>
                <w:rFonts w:ascii="Garamond" w:hAnsi="Garamond" w:cs="Helvetica-Bold"/>
                <w:b/>
                <w:bCs/>
                <w:color w:val="000000"/>
                <w:lang w:val="en-US" w:bidi="mr-IN"/>
              </w:rPr>
            </w:pPr>
            <w:r w:rsidRPr="00332F47">
              <w:rPr>
                <w:rFonts w:ascii="Garamond" w:hAnsi="Garamond" w:cs="Helvetica-Bold"/>
                <w:b/>
                <w:bCs/>
                <w:color w:val="323232"/>
                <w:lang w:val="en-US" w:bidi="mr-IN"/>
              </w:rPr>
              <w:t>Global Gender Gap Index</w:t>
            </w:r>
          </w:p>
        </w:tc>
        <w:tc>
          <w:tcPr>
            <w:tcW w:w="1378" w:type="dxa"/>
            <w:shd w:val="clear" w:color="auto" w:fill="FFFFFF"/>
            <w:tcMar>
              <w:top w:w="90" w:type="dxa"/>
              <w:left w:w="150" w:type="dxa"/>
              <w:bottom w:w="90" w:type="dxa"/>
              <w:right w:w="150" w:type="dxa"/>
            </w:tcMar>
            <w:vAlign w:val="center"/>
          </w:tcPr>
          <w:p w14:paraId="3D4A63C7" w14:textId="77777777" w:rsidR="00562DE4" w:rsidRPr="00332F47" w:rsidRDefault="00562DE4" w:rsidP="00D10C67">
            <w:pPr>
              <w:spacing w:line="276" w:lineRule="auto"/>
              <w:jc w:val="both"/>
              <w:rPr>
                <w:rFonts w:ascii="Garamond" w:hAnsi="Garamond" w:cs="Calibri"/>
                <w:b/>
                <w:bCs/>
                <w:color w:val="111111"/>
                <w:lang w:val="en-US"/>
              </w:rPr>
            </w:pPr>
            <w:r w:rsidRPr="00332F47">
              <w:rPr>
                <w:rFonts w:ascii="Garamond" w:hAnsi="Garamond" w:cs="Calibri"/>
                <w:b/>
                <w:bCs/>
                <w:color w:val="111111"/>
                <w:lang w:val="en-US"/>
              </w:rPr>
              <w:t>30</w:t>
            </w:r>
          </w:p>
          <w:p w14:paraId="69E2ADEB" w14:textId="77777777" w:rsidR="00562DE4" w:rsidRPr="00332F47" w:rsidRDefault="00562DE4" w:rsidP="00D10C67">
            <w:pPr>
              <w:spacing w:line="276" w:lineRule="auto"/>
              <w:jc w:val="both"/>
              <w:rPr>
                <w:rFonts w:ascii="Garamond" w:hAnsi="Garamond" w:cs="Calibri"/>
                <w:b/>
                <w:bCs/>
                <w:color w:val="111111"/>
                <w:lang w:val="en-US"/>
              </w:rPr>
            </w:pPr>
            <w:r w:rsidRPr="00332F47">
              <w:rPr>
                <w:rFonts w:ascii="Garamond" w:hAnsi="Garamond" w:cs="Calibri"/>
                <w:b/>
                <w:bCs/>
                <w:color w:val="111111"/>
                <w:lang w:val="en-US"/>
              </w:rPr>
              <w:t>out of 144</w:t>
            </w:r>
          </w:p>
        </w:tc>
        <w:tc>
          <w:tcPr>
            <w:tcW w:w="1883" w:type="dxa"/>
            <w:shd w:val="clear" w:color="auto" w:fill="FFFFFF"/>
            <w:tcMar>
              <w:top w:w="90" w:type="dxa"/>
              <w:left w:w="150" w:type="dxa"/>
              <w:bottom w:w="90" w:type="dxa"/>
              <w:right w:w="150" w:type="dxa"/>
            </w:tcMar>
            <w:vAlign w:val="center"/>
          </w:tcPr>
          <w:p w14:paraId="38370E67" w14:textId="77777777" w:rsidR="00562DE4" w:rsidRPr="00332F47" w:rsidRDefault="00562DE4" w:rsidP="00D10C67">
            <w:pPr>
              <w:spacing w:line="276" w:lineRule="auto"/>
              <w:jc w:val="both"/>
              <w:rPr>
                <w:rFonts w:ascii="Garamond" w:hAnsi="Garamond" w:cs="Calibri"/>
                <w:b/>
                <w:bCs/>
                <w:color w:val="111111"/>
                <w:lang w:val="en-US"/>
              </w:rPr>
            </w:pPr>
            <w:r w:rsidRPr="00332F47">
              <w:rPr>
                <w:rFonts w:ascii="Garamond" w:hAnsi="Garamond" w:cs="Calibri"/>
                <w:b/>
                <w:bCs/>
                <w:color w:val="111111"/>
                <w:lang w:val="en-US"/>
              </w:rPr>
              <w:t>23</w:t>
            </w:r>
          </w:p>
          <w:p w14:paraId="33304CD3" w14:textId="77777777" w:rsidR="00562DE4" w:rsidRPr="00332F47" w:rsidRDefault="00562DE4" w:rsidP="00D10C67">
            <w:pPr>
              <w:spacing w:line="276" w:lineRule="auto"/>
              <w:jc w:val="both"/>
              <w:rPr>
                <w:rFonts w:ascii="Garamond" w:hAnsi="Garamond" w:cs="Calibri"/>
                <w:b/>
                <w:bCs/>
                <w:color w:val="111111"/>
                <w:lang w:val="en-US"/>
              </w:rPr>
            </w:pPr>
            <w:r w:rsidRPr="00332F47">
              <w:rPr>
                <w:rFonts w:ascii="Garamond" w:hAnsi="Garamond" w:cs="Calibri"/>
                <w:b/>
                <w:bCs/>
                <w:color w:val="111111"/>
                <w:lang w:val="en-US"/>
              </w:rPr>
              <w:t>out of 128</w:t>
            </w:r>
          </w:p>
        </w:tc>
      </w:tr>
      <w:tr w:rsidR="00562DE4" w:rsidRPr="00332F47" w14:paraId="35B0521F" w14:textId="77777777" w:rsidTr="00D10C67">
        <w:trPr>
          <w:jc w:val="center"/>
        </w:trPr>
        <w:tc>
          <w:tcPr>
            <w:tcW w:w="5563" w:type="dxa"/>
            <w:shd w:val="clear" w:color="auto" w:fill="FFFFFF"/>
            <w:tcMar>
              <w:top w:w="90" w:type="dxa"/>
              <w:left w:w="150" w:type="dxa"/>
              <w:bottom w:w="90" w:type="dxa"/>
              <w:right w:w="150" w:type="dxa"/>
            </w:tcMar>
            <w:vAlign w:val="center"/>
          </w:tcPr>
          <w:p w14:paraId="21B75098" w14:textId="77777777" w:rsidR="00562DE4" w:rsidRPr="00332F47" w:rsidRDefault="00562DE4" w:rsidP="00D10C67">
            <w:pPr>
              <w:autoSpaceDE w:val="0"/>
              <w:autoSpaceDN w:val="0"/>
              <w:adjustRightInd w:val="0"/>
              <w:spacing w:line="276" w:lineRule="auto"/>
              <w:jc w:val="both"/>
              <w:rPr>
                <w:rFonts w:ascii="Garamond" w:hAnsi="Garamond" w:cs="Helvetica"/>
                <w:color w:val="000000"/>
                <w:lang w:val="en-US" w:bidi="mr-IN"/>
              </w:rPr>
            </w:pPr>
            <w:r w:rsidRPr="00332F47">
              <w:rPr>
                <w:rFonts w:ascii="Garamond" w:hAnsi="Garamond"/>
                <w:lang w:val="en-US"/>
              </w:rPr>
              <w:t>Economic participation and opportunity</w:t>
            </w:r>
          </w:p>
        </w:tc>
        <w:tc>
          <w:tcPr>
            <w:tcW w:w="1378" w:type="dxa"/>
            <w:shd w:val="clear" w:color="auto" w:fill="FFFFFF"/>
            <w:tcMar>
              <w:top w:w="90" w:type="dxa"/>
              <w:left w:w="150" w:type="dxa"/>
              <w:bottom w:w="90" w:type="dxa"/>
              <w:right w:w="150" w:type="dxa"/>
            </w:tcMar>
            <w:vAlign w:val="center"/>
          </w:tcPr>
          <w:p w14:paraId="109B9603"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5</w:t>
            </w:r>
          </w:p>
        </w:tc>
        <w:tc>
          <w:tcPr>
            <w:tcW w:w="1883" w:type="dxa"/>
            <w:shd w:val="clear" w:color="auto" w:fill="FFFFFF"/>
            <w:tcMar>
              <w:top w:w="90" w:type="dxa"/>
              <w:left w:w="150" w:type="dxa"/>
              <w:bottom w:w="90" w:type="dxa"/>
              <w:right w:w="150" w:type="dxa"/>
            </w:tcMar>
            <w:vAlign w:val="center"/>
          </w:tcPr>
          <w:p w14:paraId="3BD6ACCF"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20</w:t>
            </w:r>
          </w:p>
        </w:tc>
      </w:tr>
      <w:tr w:rsidR="00562DE4" w:rsidRPr="00332F47" w14:paraId="57BE7B65" w14:textId="77777777" w:rsidTr="00D10C67">
        <w:trPr>
          <w:jc w:val="center"/>
        </w:trPr>
        <w:tc>
          <w:tcPr>
            <w:tcW w:w="5563" w:type="dxa"/>
            <w:shd w:val="clear" w:color="auto" w:fill="FFFFFF"/>
            <w:tcMar>
              <w:top w:w="90" w:type="dxa"/>
              <w:left w:w="150" w:type="dxa"/>
              <w:bottom w:w="90" w:type="dxa"/>
              <w:right w:w="150" w:type="dxa"/>
            </w:tcMar>
            <w:vAlign w:val="center"/>
          </w:tcPr>
          <w:p w14:paraId="484B4FB2" w14:textId="77777777" w:rsidR="00562DE4" w:rsidRPr="00332F47" w:rsidRDefault="00562DE4" w:rsidP="00D10C67">
            <w:pPr>
              <w:autoSpaceDE w:val="0"/>
              <w:autoSpaceDN w:val="0"/>
              <w:adjustRightInd w:val="0"/>
              <w:spacing w:line="276" w:lineRule="auto"/>
              <w:jc w:val="both"/>
              <w:rPr>
                <w:rFonts w:ascii="Garamond" w:hAnsi="Garamond" w:cs="Helvetica"/>
                <w:color w:val="000000"/>
                <w:lang w:val="en-US" w:bidi="mr-IN"/>
              </w:rPr>
            </w:pPr>
            <w:r w:rsidRPr="00332F47">
              <w:rPr>
                <w:rFonts w:ascii="Garamond" w:hAnsi="Garamond" w:cs="Helvetica"/>
                <w:color w:val="323232"/>
                <w:lang w:val="en-US" w:bidi="mr-IN"/>
              </w:rPr>
              <w:t>Educational attainment</w:t>
            </w:r>
          </w:p>
          <w:p w14:paraId="0C3D30BD"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p>
        </w:tc>
        <w:tc>
          <w:tcPr>
            <w:tcW w:w="1378" w:type="dxa"/>
            <w:shd w:val="clear" w:color="auto" w:fill="FFFFFF"/>
            <w:tcMar>
              <w:top w:w="90" w:type="dxa"/>
              <w:left w:w="150" w:type="dxa"/>
              <w:bottom w:w="90" w:type="dxa"/>
              <w:right w:w="150" w:type="dxa"/>
            </w:tcMar>
            <w:vAlign w:val="center"/>
          </w:tcPr>
          <w:p w14:paraId="22838AAB"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29</w:t>
            </w:r>
          </w:p>
        </w:tc>
        <w:tc>
          <w:tcPr>
            <w:tcW w:w="1883" w:type="dxa"/>
            <w:shd w:val="clear" w:color="auto" w:fill="FFFFFF"/>
            <w:tcMar>
              <w:top w:w="90" w:type="dxa"/>
              <w:left w:w="150" w:type="dxa"/>
              <w:bottom w:w="90" w:type="dxa"/>
              <w:right w:w="150" w:type="dxa"/>
            </w:tcMar>
            <w:vAlign w:val="center"/>
          </w:tcPr>
          <w:p w14:paraId="2B6B8AF4"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74</w:t>
            </w:r>
          </w:p>
        </w:tc>
      </w:tr>
      <w:tr w:rsidR="00562DE4" w:rsidRPr="00332F47" w14:paraId="5B0AABFC" w14:textId="77777777" w:rsidTr="00D10C67">
        <w:trPr>
          <w:jc w:val="center"/>
        </w:trPr>
        <w:tc>
          <w:tcPr>
            <w:tcW w:w="5563" w:type="dxa"/>
            <w:shd w:val="clear" w:color="auto" w:fill="FFFFFF"/>
            <w:tcMar>
              <w:top w:w="90" w:type="dxa"/>
              <w:left w:w="150" w:type="dxa"/>
              <w:bottom w:w="90" w:type="dxa"/>
              <w:right w:w="150" w:type="dxa"/>
            </w:tcMar>
            <w:vAlign w:val="center"/>
          </w:tcPr>
          <w:p w14:paraId="4190B9D8" w14:textId="77777777" w:rsidR="00562DE4" w:rsidRPr="00332F47" w:rsidRDefault="00562DE4" w:rsidP="00D10C67">
            <w:pPr>
              <w:autoSpaceDE w:val="0"/>
              <w:autoSpaceDN w:val="0"/>
              <w:adjustRightInd w:val="0"/>
              <w:spacing w:line="276" w:lineRule="auto"/>
              <w:jc w:val="both"/>
              <w:rPr>
                <w:rFonts w:ascii="Garamond" w:hAnsi="Garamond" w:cs="Helvetica"/>
                <w:color w:val="000000"/>
                <w:lang w:val="en-US" w:bidi="mr-IN"/>
              </w:rPr>
            </w:pPr>
            <w:r w:rsidRPr="00332F47">
              <w:rPr>
                <w:rFonts w:ascii="Garamond" w:hAnsi="Garamond" w:cs="Helvetica"/>
                <w:color w:val="323232"/>
                <w:lang w:val="en-US" w:bidi="mr-IN"/>
              </w:rPr>
              <w:t>Health and survival</w:t>
            </w:r>
          </w:p>
        </w:tc>
        <w:tc>
          <w:tcPr>
            <w:tcW w:w="1378" w:type="dxa"/>
            <w:shd w:val="clear" w:color="auto" w:fill="FFFFFF"/>
            <w:tcMar>
              <w:top w:w="90" w:type="dxa"/>
              <w:left w:w="150" w:type="dxa"/>
              <w:bottom w:w="90" w:type="dxa"/>
              <w:right w:w="150" w:type="dxa"/>
            </w:tcMar>
            <w:vAlign w:val="center"/>
          </w:tcPr>
          <w:p w14:paraId="68365960"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40</w:t>
            </w:r>
          </w:p>
        </w:tc>
        <w:tc>
          <w:tcPr>
            <w:tcW w:w="1883" w:type="dxa"/>
            <w:shd w:val="clear" w:color="auto" w:fill="FFFFFF"/>
            <w:tcMar>
              <w:top w:w="90" w:type="dxa"/>
              <w:left w:w="150" w:type="dxa"/>
              <w:bottom w:w="90" w:type="dxa"/>
              <w:right w:w="150" w:type="dxa"/>
            </w:tcMar>
            <w:vAlign w:val="center"/>
          </w:tcPr>
          <w:p w14:paraId="080FA3C7"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37</w:t>
            </w:r>
          </w:p>
        </w:tc>
      </w:tr>
      <w:tr w:rsidR="00562DE4" w:rsidRPr="00332F47" w14:paraId="6C6F3BDF" w14:textId="77777777" w:rsidTr="00D10C67">
        <w:trPr>
          <w:jc w:val="center"/>
        </w:trPr>
        <w:tc>
          <w:tcPr>
            <w:tcW w:w="5563" w:type="dxa"/>
            <w:shd w:val="clear" w:color="auto" w:fill="FFFFFF"/>
            <w:tcMar>
              <w:top w:w="90" w:type="dxa"/>
              <w:left w:w="150" w:type="dxa"/>
              <w:bottom w:w="90" w:type="dxa"/>
              <w:right w:w="150" w:type="dxa"/>
            </w:tcMar>
            <w:vAlign w:val="center"/>
          </w:tcPr>
          <w:p w14:paraId="4374C035" w14:textId="77777777" w:rsidR="00562DE4" w:rsidRPr="00332F47" w:rsidRDefault="00562DE4" w:rsidP="00D10C67">
            <w:pPr>
              <w:autoSpaceDE w:val="0"/>
              <w:autoSpaceDN w:val="0"/>
              <w:adjustRightInd w:val="0"/>
              <w:spacing w:line="276" w:lineRule="auto"/>
              <w:jc w:val="both"/>
              <w:rPr>
                <w:rFonts w:ascii="Garamond" w:hAnsi="Garamond" w:cs="Helvetica"/>
                <w:color w:val="000000"/>
                <w:lang w:val="en-US" w:bidi="mr-IN"/>
              </w:rPr>
            </w:pPr>
            <w:r w:rsidRPr="00332F47">
              <w:rPr>
                <w:rFonts w:ascii="Garamond" w:hAnsi="Garamond" w:cs="Helvetica"/>
                <w:color w:val="323232"/>
                <w:lang w:val="en-US" w:bidi="mr-IN"/>
              </w:rPr>
              <w:t>Political empowerment</w:t>
            </w:r>
          </w:p>
        </w:tc>
        <w:tc>
          <w:tcPr>
            <w:tcW w:w="1378" w:type="dxa"/>
            <w:shd w:val="clear" w:color="auto" w:fill="FFFFFF"/>
            <w:tcMar>
              <w:top w:w="90" w:type="dxa"/>
              <w:left w:w="150" w:type="dxa"/>
              <w:bottom w:w="90" w:type="dxa"/>
              <w:right w:w="150" w:type="dxa"/>
            </w:tcMar>
            <w:vAlign w:val="center"/>
          </w:tcPr>
          <w:p w14:paraId="70FE8D0A"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80</w:t>
            </w:r>
          </w:p>
        </w:tc>
        <w:tc>
          <w:tcPr>
            <w:tcW w:w="1883" w:type="dxa"/>
            <w:shd w:val="clear" w:color="auto" w:fill="FFFFFF"/>
            <w:tcMar>
              <w:top w:w="90" w:type="dxa"/>
              <w:left w:w="150" w:type="dxa"/>
              <w:bottom w:w="90" w:type="dxa"/>
              <w:right w:w="150" w:type="dxa"/>
            </w:tcMar>
            <w:vAlign w:val="center"/>
          </w:tcPr>
          <w:p w14:paraId="7075A607"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39</w:t>
            </w:r>
          </w:p>
        </w:tc>
      </w:tr>
    </w:tbl>
    <w:p w14:paraId="0258D86B" w14:textId="77777777" w:rsidR="00562DE4" w:rsidRPr="00332F47" w:rsidRDefault="00562DE4" w:rsidP="00562DE4">
      <w:pPr>
        <w:autoSpaceDE w:val="0"/>
        <w:autoSpaceDN w:val="0"/>
        <w:adjustRightInd w:val="0"/>
        <w:spacing w:line="276" w:lineRule="auto"/>
        <w:jc w:val="both"/>
        <w:rPr>
          <w:rFonts w:ascii="Garamond" w:hAnsi="Garamond"/>
          <w:lang w:val="en-US"/>
        </w:rPr>
      </w:pPr>
    </w:p>
    <w:p w14:paraId="257344D5" w14:textId="77777777" w:rsidR="00562DE4" w:rsidRPr="00332F47" w:rsidRDefault="00562DE4" w:rsidP="00562DE4">
      <w:pPr>
        <w:pStyle w:val="Default"/>
        <w:spacing w:after="60" w:line="259" w:lineRule="auto"/>
        <w:jc w:val="both"/>
        <w:rPr>
          <w:rFonts w:ascii="Garamond" w:hAnsi="Garamond"/>
          <w:lang w:val="en-US"/>
        </w:rPr>
      </w:pPr>
      <w:r w:rsidRPr="00332F47">
        <w:rPr>
          <w:rFonts w:ascii="Garamond" w:hAnsi="Garamond"/>
          <w:lang w:val="en-US"/>
        </w:rPr>
        <w:t>One of the specific features of Belarus is the high level of women's employment, which is 65%, including 83% for women of employable age. More often, women are invited to hold management positions. In accordance with the results of the 2016 elections for the National Assembly of the Republic of Belarus, the ratio of women increased and amounted to 33.7 percent of the total number of deputies of the House of Representatives and members of the Council. Meanwhile, according to the data of Inter-Parliamentary Union, in the region of the participating countries of the Organization for Security and Cooperation in Europe (OSCE), with due regard to the Nordic countries, the representation of women in bicameral parliaments is 25.6 percent (as of August 1, 2016), and 22.8 percent is the world.</w:t>
      </w:r>
    </w:p>
    <w:p w14:paraId="52246F8E" w14:textId="77777777" w:rsidR="00562DE4" w:rsidRPr="00332F47" w:rsidRDefault="00562DE4" w:rsidP="00562DE4">
      <w:pPr>
        <w:autoSpaceDE w:val="0"/>
        <w:autoSpaceDN w:val="0"/>
        <w:adjustRightInd w:val="0"/>
        <w:spacing w:line="259" w:lineRule="auto"/>
        <w:jc w:val="both"/>
        <w:rPr>
          <w:rFonts w:ascii="Garamond" w:hAnsi="Garamond"/>
          <w:lang w:val="en-US" w:bidi="mr-IN"/>
        </w:rPr>
      </w:pPr>
      <w:r w:rsidRPr="00332F47">
        <w:rPr>
          <w:rFonts w:ascii="Garamond" w:hAnsi="Garamond"/>
          <w:lang w:val="en-US" w:bidi="mr-IN"/>
        </w:rPr>
        <w:t>Among public servants, women make up 70.1 percent, including 54.7 percent as head of the organization and his deputies. Women also make up about 68 percent of public servants, which are employed in the law enforcement authorities.</w:t>
      </w:r>
    </w:p>
    <w:p w14:paraId="5AD872B3" w14:textId="77777777" w:rsidR="00562DE4" w:rsidRPr="00332F47" w:rsidRDefault="00562DE4" w:rsidP="00562DE4">
      <w:pPr>
        <w:autoSpaceDE w:val="0"/>
        <w:autoSpaceDN w:val="0"/>
        <w:adjustRightInd w:val="0"/>
        <w:spacing w:line="259" w:lineRule="auto"/>
        <w:jc w:val="both"/>
        <w:rPr>
          <w:rFonts w:ascii="Garamond" w:hAnsi="Garamond"/>
          <w:lang w:val="en-US" w:bidi="mr-IN"/>
        </w:rPr>
      </w:pPr>
    </w:p>
    <w:p w14:paraId="3CB52E3F" w14:textId="77777777" w:rsidR="00562DE4" w:rsidRDefault="00562DE4" w:rsidP="00562DE4">
      <w:pPr>
        <w:pStyle w:val="Default"/>
        <w:spacing w:after="60" w:line="259" w:lineRule="auto"/>
        <w:jc w:val="both"/>
        <w:rPr>
          <w:rFonts w:ascii="Garamond" w:hAnsi="Garamond"/>
          <w:lang w:val="en-US"/>
        </w:rPr>
      </w:pPr>
      <w:r w:rsidRPr="00332F47">
        <w:rPr>
          <w:rFonts w:ascii="Garamond" w:hAnsi="Garamond" w:cs="Mangal"/>
          <w:b/>
          <w:bCs/>
          <w:color w:val="auto"/>
          <w:lang w:val="en-US"/>
        </w:rPr>
        <w:t xml:space="preserve">In the system of water resources management in the Republic of Belarus, the number of women is at least 50 percent. </w:t>
      </w:r>
      <w:r w:rsidRPr="00332F47">
        <w:rPr>
          <w:rFonts w:ascii="Garamond" w:hAnsi="Garamond"/>
          <w:lang w:val="en-US"/>
        </w:rPr>
        <w:t xml:space="preserve">Along with the National Plan, gender issues are also recorded in other national programs and projects, such as "Main Directions of the State Family Policy", "National Action Plan for Improving the Children Position and Protecting Their Rights", "National Program of the Demographic Security", Presidential Program "Children of Belarus ", the state employment program. The government's employment programs, adopted annually by the Government, foresee special measures to ensure the employment of women. Thus, in 2005 the ratio of unemployed women in the total number of unemployed people was 69 percent, and then in 2016 this ratio decreased and reached 32 percent. </w:t>
      </w:r>
    </w:p>
    <w:p w14:paraId="0DBBEBF9" w14:textId="77777777" w:rsidR="00562DE4" w:rsidRPr="00654786" w:rsidRDefault="00562DE4" w:rsidP="00562DE4">
      <w:pPr>
        <w:pStyle w:val="Default"/>
        <w:spacing w:after="60" w:line="259" w:lineRule="auto"/>
        <w:jc w:val="both"/>
        <w:rPr>
          <w:rFonts w:ascii="Garamond" w:hAnsi="Garamond"/>
          <w:lang w:val="en-US"/>
        </w:rPr>
      </w:pPr>
    </w:p>
    <w:p w14:paraId="7D587510" w14:textId="77777777" w:rsidR="00562DE4" w:rsidRPr="00653CEA" w:rsidRDefault="00562DE4" w:rsidP="00562DE4">
      <w:pPr>
        <w:rPr>
          <w:rFonts w:ascii="Garamond" w:hAnsi="Garamond"/>
          <w:b/>
          <w:shd w:val="clear" w:color="auto" w:fill="FFFFFF"/>
          <w:lang w:val="en-US"/>
        </w:rPr>
      </w:pPr>
      <w:bookmarkStart w:id="5" w:name="_Toc7103820"/>
      <w:bookmarkStart w:id="6" w:name="_Toc7965738"/>
      <w:bookmarkStart w:id="7" w:name="_Toc8145010"/>
      <w:r w:rsidRPr="00653CEA">
        <w:rPr>
          <w:rFonts w:ascii="Garamond" w:hAnsi="Garamond"/>
          <w:b/>
          <w:shd w:val="clear" w:color="auto" w:fill="FFFFFF"/>
          <w:lang w:val="en-US"/>
        </w:rPr>
        <w:t>Ukraine</w:t>
      </w:r>
      <w:bookmarkEnd w:id="5"/>
      <w:bookmarkEnd w:id="6"/>
      <w:bookmarkEnd w:id="7"/>
    </w:p>
    <w:p w14:paraId="458FDD33" w14:textId="77777777" w:rsidR="00562DE4" w:rsidRPr="005E30D2" w:rsidRDefault="00562DE4" w:rsidP="00562DE4">
      <w:pPr>
        <w:rPr>
          <w:lang w:val="en-US"/>
        </w:rPr>
      </w:pPr>
    </w:p>
    <w:p w14:paraId="3B25C711" w14:textId="77777777" w:rsidR="00562DE4" w:rsidRPr="00332F47" w:rsidRDefault="00562DE4" w:rsidP="00562DE4">
      <w:pPr>
        <w:pStyle w:val="NormalWeb"/>
        <w:shd w:val="clear" w:color="auto" w:fill="FFFFFF"/>
        <w:spacing w:before="0" w:beforeAutospacing="0" w:after="150" w:afterAutospacing="0" w:line="259" w:lineRule="auto"/>
        <w:jc w:val="both"/>
        <w:textAlignment w:val="baseline"/>
        <w:rPr>
          <w:rFonts w:ascii="Garamond" w:hAnsi="Garamond" w:cs="Calibri"/>
          <w:color w:val="111111"/>
          <w:lang w:val="en-US"/>
        </w:rPr>
      </w:pPr>
      <w:r w:rsidRPr="00332F47">
        <w:rPr>
          <w:rFonts w:ascii="Garamond" w:hAnsi="Garamond" w:cs="Calibri"/>
          <w:color w:val="111111"/>
          <w:shd w:val="clear" w:color="auto" w:fill="FFFFFF"/>
          <w:lang w:val="en-US"/>
        </w:rPr>
        <w:t>According to the </w:t>
      </w:r>
      <w:hyperlink r:id="rId5" w:anchor="economy=UKR" w:history="1">
        <w:r w:rsidRPr="00332F47">
          <w:rPr>
            <w:rStyle w:val="Hyperlink"/>
            <w:rFonts w:ascii="Garamond" w:eastAsia="SimSun" w:hAnsi="Garamond" w:cs="Calibri"/>
            <w:color w:val="000000"/>
            <w:bdr w:val="none" w:sz="0" w:space="0" w:color="auto" w:frame="1"/>
            <w:shd w:val="clear" w:color="auto" w:fill="FFFFFF"/>
            <w:lang w:val="en-US"/>
          </w:rPr>
          <w:t>Global Gender Gap Report</w:t>
        </w:r>
      </w:hyperlink>
      <w:r w:rsidRPr="00332F47">
        <w:rPr>
          <w:rFonts w:ascii="Garamond" w:hAnsi="Garamond"/>
          <w:color w:val="000000"/>
          <w:shd w:val="clear" w:color="auto" w:fill="FFFFFF"/>
          <w:lang w:val="en-US"/>
        </w:rPr>
        <w:t> </w:t>
      </w:r>
      <w:r w:rsidRPr="00332F47">
        <w:rPr>
          <w:rFonts w:ascii="Garamond" w:hAnsi="Garamond" w:cs="Calibri"/>
          <w:color w:val="111111"/>
          <w:shd w:val="clear" w:color="auto" w:fill="FFFFFF"/>
          <w:lang w:val="en-US"/>
        </w:rPr>
        <w:t>for 2016, presented by the World Econo</w:t>
      </w:r>
      <w:r w:rsidRPr="00332F47">
        <w:rPr>
          <w:rFonts w:ascii="Garamond" w:hAnsi="Garamond"/>
          <w:color w:val="111111"/>
          <w:shd w:val="clear" w:color="auto" w:fill="FFFFFF"/>
          <w:lang w:val="en-US"/>
        </w:rPr>
        <w:t>mic Forum, Ukraine ranks 69th in the gender equality index (in t</w:t>
      </w:r>
      <w:r w:rsidRPr="00332F47">
        <w:rPr>
          <w:rFonts w:ascii="Garamond" w:hAnsi="Garamond"/>
          <w:color w:val="111111"/>
          <w:lang w:val="en-US"/>
        </w:rPr>
        <w:t>he ranking among 142 countries).Comparing these data with the indicators of the past years, it is obvious that the condition of gender equality in Ukraine has become worse. Ukraine showed the best result in 2006, taking the 48th place. That time, according to some of the four measured parameters, Ukraine approached the 1.00</w:t>
      </w:r>
      <w:r w:rsidRPr="00332F47">
        <w:rPr>
          <w:rFonts w:ascii="Garamond" w:hAnsi="Garamond" w:cs="Calibri"/>
          <w:color w:val="111111"/>
          <w:lang w:val="en-US"/>
        </w:rPr>
        <w:t xml:space="preserve"> mark, which means full gender equality in this area. Quite significantly Ukraine’s positions also declined during the period from 2014 (56th place) to 2015 (67th place) (Table 1).</w:t>
      </w:r>
    </w:p>
    <w:p w14:paraId="3352B357" w14:textId="77777777" w:rsidR="00562DE4" w:rsidRPr="00332F47" w:rsidRDefault="00562DE4" w:rsidP="00562DE4">
      <w:pPr>
        <w:pStyle w:val="NormalWeb"/>
        <w:shd w:val="clear" w:color="auto" w:fill="FFFFFF"/>
        <w:spacing w:before="0" w:beforeAutospacing="0" w:after="150" w:afterAutospacing="0" w:line="259" w:lineRule="auto"/>
        <w:jc w:val="both"/>
        <w:textAlignment w:val="baseline"/>
        <w:rPr>
          <w:rFonts w:ascii="Garamond" w:hAnsi="Garamond" w:cs="Calibri"/>
          <w:color w:val="111111"/>
          <w:lang w:val="en-US"/>
        </w:rPr>
      </w:pPr>
      <w:r w:rsidRPr="00332F47">
        <w:rPr>
          <w:rFonts w:ascii="Garamond" w:hAnsi="Garamond" w:cs="Calibri"/>
          <w:color w:val="111111"/>
          <w:lang w:val="en-US"/>
        </w:rPr>
        <w:t>Gender equity index of Ukraine in 2016 versa 2006</w:t>
      </w:r>
    </w:p>
    <w:tbl>
      <w:tblPr>
        <w:tblW w:w="7041" w:type="dxa"/>
        <w:tblInd w:w="1432" w:type="dxa"/>
        <w:shd w:val="clear" w:color="auto" w:fill="FFFFFF"/>
        <w:tblCellMar>
          <w:top w:w="15" w:type="dxa"/>
          <w:left w:w="15" w:type="dxa"/>
          <w:bottom w:w="15" w:type="dxa"/>
          <w:right w:w="15" w:type="dxa"/>
        </w:tblCellMar>
        <w:tblLook w:val="04A0" w:firstRow="1" w:lastRow="0" w:firstColumn="1" w:lastColumn="0" w:noHBand="0" w:noVBand="1"/>
      </w:tblPr>
      <w:tblGrid>
        <w:gridCol w:w="2662"/>
        <w:gridCol w:w="1616"/>
        <w:gridCol w:w="2754"/>
        <w:gridCol w:w="9"/>
      </w:tblGrid>
      <w:tr w:rsidR="00562DE4" w:rsidRPr="00332F47" w14:paraId="6D56962A" w14:textId="77777777" w:rsidTr="00D10C67">
        <w:trPr>
          <w:gridAfter w:val="1"/>
          <w:wAfter w:w="9" w:type="dxa"/>
        </w:trPr>
        <w:tc>
          <w:tcPr>
            <w:tcW w:w="2662" w:type="dxa"/>
            <w:vMerge w:val="restart"/>
            <w:tcBorders>
              <w:top w:val="single" w:sz="6" w:space="0" w:color="CCCCCC"/>
              <w:left w:val="single" w:sz="6" w:space="0" w:color="CCCCCC"/>
              <w:bottom w:val="single" w:sz="6" w:space="0" w:color="CCCCCC"/>
              <w:right w:val="single" w:sz="6" w:space="0" w:color="CCCCCC"/>
            </w:tcBorders>
            <w:shd w:val="clear" w:color="auto" w:fill="D9E2F3"/>
            <w:tcMar>
              <w:top w:w="90" w:type="dxa"/>
              <w:left w:w="150" w:type="dxa"/>
              <w:bottom w:w="90" w:type="dxa"/>
              <w:right w:w="150" w:type="dxa"/>
            </w:tcMar>
            <w:vAlign w:val="center"/>
            <w:hideMark/>
          </w:tcPr>
          <w:p w14:paraId="06B6D41F" w14:textId="77777777" w:rsidR="00562DE4" w:rsidRPr="00332F47" w:rsidRDefault="00562DE4" w:rsidP="00D10C67">
            <w:pPr>
              <w:spacing w:line="276" w:lineRule="auto"/>
              <w:jc w:val="both"/>
              <w:rPr>
                <w:rFonts w:ascii="Garamond" w:hAnsi="Garamond" w:cs="Calibri"/>
                <w:color w:val="111111"/>
                <w:lang w:val="en-US"/>
              </w:rPr>
            </w:pPr>
          </w:p>
          <w:p w14:paraId="2EF44FA0"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p>
          <w:p w14:paraId="6D9F86F6"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r w:rsidRPr="00332F47">
              <w:rPr>
                <w:rStyle w:val="Strong"/>
                <w:rFonts w:ascii="Garamond" w:hAnsi="Garamond" w:cs="Calibri"/>
                <w:color w:val="111111"/>
                <w:bdr w:val="none" w:sz="0" w:space="0" w:color="auto" w:frame="1"/>
                <w:lang w:val="en-US"/>
              </w:rPr>
              <w:t>Sphere</w:t>
            </w:r>
          </w:p>
        </w:tc>
        <w:tc>
          <w:tcPr>
            <w:tcW w:w="1616" w:type="dxa"/>
            <w:tcBorders>
              <w:top w:val="single" w:sz="6" w:space="0" w:color="CCCCCC"/>
              <w:left w:val="single" w:sz="6" w:space="0" w:color="CCCCCC"/>
              <w:bottom w:val="single" w:sz="6" w:space="0" w:color="CCCCCC"/>
              <w:right w:val="single" w:sz="6" w:space="0" w:color="CCCCCC"/>
            </w:tcBorders>
            <w:shd w:val="clear" w:color="auto" w:fill="D9E2F3"/>
            <w:tcMar>
              <w:top w:w="90" w:type="dxa"/>
              <w:left w:w="150" w:type="dxa"/>
              <w:bottom w:w="90" w:type="dxa"/>
              <w:right w:w="150" w:type="dxa"/>
            </w:tcMar>
            <w:vAlign w:val="center"/>
            <w:hideMark/>
          </w:tcPr>
          <w:p w14:paraId="1C098368"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r w:rsidRPr="00332F47">
              <w:rPr>
                <w:rStyle w:val="Strong"/>
                <w:rFonts w:ascii="Garamond" w:hAnsi="Garamond" w:cs="Calibri"/>
                <w:color w:val="111111"/>
                <w:bdr w:val="none" w:sz="0" w:space="0" w:color="auto" w:frame="1"/>
                <w:lang w:val="en-US"/>
              </w:rPr>
              <w:t>2016</w:t>
            </w:r>
          </w:p>
        </w:tc>
        <w:tc>
          <w:tcPr>
            <w:tcW w:w="2754" w:type="dxa"/>
            <w:tcBorders>
              <w:top w:val="single" w:sz="6" w:space="0" w:color="CCCCCC"/>
              <w:left w:val="single" w:sz="6" w:space="0" w:color="CCCCCC"/>
              <w:bottom w:val="single" w:sz="6" w:space="0" w:color="CCCCCC"/>
              <w:right w:val="single" w:sz="6" w:space="0" w:color="CCCCCC"/>
            </w:tcBorders>
            <w:shd w:val="clear" w:color="auto" w:fill="D9E2F3"/>
            <w:tcMar>
              <w:top w:w="90" w:type="dxa"/>
              <w:left w:w="150" w:type="dxa"/>
              <w:bottom w:w="90" w:type="dxa"/>
              <w:right w:w="150" w:type="dxa"/>
            </w:tcMar>
            <w:vAlign w:val="center"/>
            <w:hideMark/>
          </w:tcPr>
          <w:p w14:paraId="3402DFF5"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r w:rsidRPr="00332F47">
              <w:rPr>
                <w:rStyle w:val="Strong"/>
                <w:rFonts w:ascii="Garamond" w:hAnsi="Garamond" w:cs="Calibri"/>
                <w:color w:val="111111"/>
                <w:bdr w:val="none" w:sz="0" w:space="0" w:color="auto" w:frame="1"/>
                <w:lang w:val="en-US"/>
              </w:rPr>
              <w:t>2006</w:t>
            </w:r>
          </w:p>
        </w:tc>
      </w:tr>
      <w:tr w:rsidR="00562DE4" w:rsidRPr="00332F47" w14:paraId="0EC5F45F" w14:textId="77777777" w:rsidTr="00D10C67">
        <w:tc>
          <w:tcPr>
            <w:tcW w:w="0" w:type="auto"/>
            <w:vMerge/>
            <w:tcBorders>
              <w:top w:val="single" w:sz="6" w:space="0" w:color="CCCCCC"/>
              <w:left w:val="single" w:sz="6" w:space="0" w:color="CCCCCC"/>
              <w:bottom w:val="single" w:sz="6" w:space="0" w:color="CCCCCC"/>
              <w:right w:val="single" w:sz="6" w:space="0" w:color="CCCCCC"/>
            </w:tcBorders>
            <w:shd w:val="clear" w:color="auto" w:fill="D9E2F3"/>
            <w:vAlign w:val="center"/>
            <w:hideMark/>
          </w:tcPr>
          <w:p w14:paraId="2DCBB322" w14:textId="77777777" w:rsidR="00562DE4" w:rsidRPr="00332F47" w:rsidRDefault="00562DE4" w:rsidP="00D10C67">
            <w:pPr>
              <w:spacing w:line="276" w:lineRule="auto"/>
              <w:jc w:val="both"/>
              <w:rPr>
                <w:rFonts w:ascii="Garamond" w:hAnsi="Garamond" w:cs="Calibri"/>
                <w:color w:val="111111"/>
                <w:lang w:val="en-US"/>
              </w:rPr>
            </w:pPr>
          </w:p>
        </w:tc>
        <w:tc>
          <w:tcPr>
            <w:tcW w:w="1616" w:type="dxa"/>
            <w:tcBorders>
              <w:top w:val="single" w:sz="6" w:space="0" w:color="CCCCCC"/>
              <w:left w:val="single" w:sz="6" w:space="0" w:color="CCCCCC"/>
              <w:bottom w:val="single" w:sz="6" w:space="0" w:color="CCCCCC"/>
              <w:right w:val="single" w:sz="6" w:space="0" w:color="CCCCCC"/>
            </w:tcBorders>
            <w:shd w:val="clear" w:color="auto" w:fill="D9E2F3"/>
            <w:tcMar>
              <w:top w:w="90" w:type="dxa"/>
              <w:left w:w="150" w:type="dxa"/>
              <w:bottom w:w="90" w:type="dxa"/>
              <w:right w:w="150" w:type="dxa"/>
            </w:tcMar>
            <w:vAlign w:val="center"/>
            <w:hideMark/>
          </w:tcPr>
          <w:p w14:paraId="7AA3EC26" w14:textId="77777777" w:rsidR="00562DE4" w:rsidRPr="00332F47" w:rsidRDefault="00562DE4" w:rsidP="00D10C67">
            <w:pPr>
              <w:spacing w:line="276" w:lineRule="auto"/>
              <w:jc w:val="both"/>
              <w:rPr>
                <w:rFonts w:ascii="Garamond" w:hAnsi="Garamond" w:cs="Calibri"/>
                <w:color w:val="111111"/>
                <w:lang w:val="en-US"/>
              </w:rPr>
            </w:pPr>
          </w:p>
          <w:p w14:paraId="7DA774F9"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r w:rsidRPr="00332F47">
              <w:rPr>
                <w:rStyle w:val="Strong"/>
                <w:rFonts w:ascii="Garamond" w:hAnsi="Garamond" w:cs="Calibri"/>
                <w:color w:val="111111"/>
                <w:bdr w:val="none" w:sz="0" w:space="0" w:color="auto" w:frame="1"/>
                <w:lang w:val="en-US"/>
              </w:rPr>
              <w:t>Rank</w:t>
            </w:r>
          </w:p>
        </w:tc>
        <w:tc>
          <w:tcPr>
            <w:tcW w:w="2763" w:type="dxa"/>
            <w:gridSpan w:val="2"/>
            <w:tcBorders>
              <w:top w:val="single" w:sz="6" w:space="0" w:color="CCCCCC"/>
              <w:left w:val="single" w:sz="6" w:space="0" w:color="CCCCCC"/>
              <w:bottom w:val="single" w:sz="6" w:space="0" w:color="CCCCCC"/>
              <w:right w:val="single" w:sz="6" w:space="0" w:color="CCCCCC"/>
            </w:tcBorders>
            <w:shd w:val="clear" w:color="auto" w:fill="D9E2F3"/>
            <w:tcMar>
              <w:top w:w="90" w:type="dxa"/>
              <w:left w:w="150" w:type="dxa"/>
              <w:bottom w:w="90" w:type="dxa"/>
              <w:right w:w="150" w:type="dxa"/>
            </w:tcMar>
            <w:vAlign w:val="center"/>
            <w:hideMark/>
          </w:tcPr>
          <w:p w14:paraId="1C3F6860" w14:textId="77777777" w:rsidR="00562DE4" w:rsidRPr="00332F47" w:rsidRDefault="00562DE4" w:rsidP="00D10C67">
            <w:pPr>
              <w:spacing w:line="276" w:lineRule="auto"/>
              <w:jc w:val="both"/>
              <w:rPr>
                <w:rFonts w:ascii="Garamond" w:hAnsi="Garamond" w:cs="Calibri"/>
                <w:color w:val="111111"/>
                <w:lang w:val="en-US"/>
              </w:rPr>
            </w:pPr>
          </w:p>
          <w:p w14:paraId="4793DE5A" w14:textId="77777777" w:rsidR="00562DE4" w:rsidRPr="00332F47" w:rsidRDefault="00562DE4" w:rsidP="00D10C67">
            <w:pPr>
              <w:pStyle w:val="NormalWeb"/>
              <w:spacing w:before="0" w:beforeAutospacing="0" w:after="0" w:afterAutospacing="0" w:line="276" w:lineRule="auto"/>
              <w:jc w:val="both"/>
              <w:textAlignment w:val="baseline"/>
              <w:rPr>
                <w:rFonts w:ascii="Garamond" w:hAnsi="Garamond" w:cs="Calibri"/>
                <w:color w:val="111111"/>
                <w:lang w:val="en-US"/>
              </w:rPr>
            </w:pPr>
            <w:r w:rsidRPr="00332F47">
              <w:rPr>
                <w:rStyle w:val="Strong"/>
                <w:rFonts w:ascii="Garamond" w:hAnsi="Garamond" w:cs="Calibri"/>
                <w:color w:val="111111"/>
                <w:bdr w:val="none" w:sz="0" w:space="0" w:color="auto" w:frame="1"/>
                <w:lang w:val="en-US"/>
              </w:rPr>
              <w:t>Rank</w:t>
            </w:r>
          </w:p>
        </w:tc>
      </w:tr>
      <w:tr w:rsidR="00562DE4" w:rsidRPr="00332F47" w14:paraId="33B6E653" w14:textId="77777777" w:rsidTr="00D10C67">
        <w:tc>
          <w:tcPr>
            <w:tcW w:w="2662"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5B3C9389"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Education</w:t>
            </w:r>
          </w:p>
        </w:tc>
        <w:tc>
          <w:tcPr>
            <w:tcW w:w="1616"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3DF4E35C"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26</w:t>
            </w:r>
          </w:p>
        </w:tc>
        <w:tc>
          <w:tcPr>
            <w:tcW w:w="2763" w:type="dxa"/>
            <w:gridSpan w:val="2"/>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76C30C2C"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25</w:t>
            </w:r>
          </w:p>
        </w:tc>
      </w:tr>
      <w:tr w:rsidR="00562DE4" w:rsidRPr="00332F47" w14:paraId="4F4DF71A" w14:textId="77777777" w:rsidTr="00D10C67">
        <w:tc>
          <w:tcPr>
            <w:tcW w:w="2662"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0AAEDF30"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Health and survival</w:t>
            </w:r>
          </w:p>
        </w:tc>
        <w:tc>
          <w:tcPr>
            <w:tcW w:w="1616"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71B4F087"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40</w:t>
            </w:r>
          </w:p>
        </w:tc>
        <w:tc>
          <w:tcPr>
            <w:tcW w:w="2763" w:type="dxa"/>
            <w:gridSpan w:val="2"/>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457C5ECF"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1</w:t>
            </w:r>
          </w:p>
        </w:tc>
      </w:tr>
      <w:tr w:rsidR="00562DE4" w:rsidRPr="00332F47" w14:paraId="0873D71A" w14:textId="77777777" w:rsidTr="00D10C67">
        <w:tc>
          <w:tcPr>
            <w:tcW w:w="2662"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7D0D7A5B"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Economic participation and opportunities</w:t>
            </w:r>
          </w:p>
        </w:tc>
        <w:tc>
          <w:tcPr>
            <w:tcW w:w="1616"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091BF411"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40</w:t>
            </w:r>
          </w:p>
        </w:tc>
        <w:tc>
          <w:tcPr>
            <w:tcW w:w="2763" w:type="dxa"/>
            <w:gridSpan w:val="2"/>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106EDF29"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24</w:t>
            </w:r>
          </w:p>
        </w:tc>
      </w:tr>
      <w:tr w:rsidR="00562DE4" w:rsidRPr="00332F47" w14:paraId="2DBDAC4D" w14:textId="77777777" w:rsidTr="00D10C67">
        <w:tc>
          <w:tcPr>
            <w:tcW w:w="2662"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5F0FC48E"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Political participation</w:t>
            </w:r>
          </w:p>
        </w:tc>
        <w:tc>
          <w:tcPr>
            <w:tcW w:w="1616"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7AF459B1"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107</w:t>
            </w:r>
          </w:p>
        </w:tc>
        <w:tc>
          <w:tcPr>
            <w:tcW w:w="2763" w:type="dxa"/>
            <w:gridSpan w:val="2"/>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0B21E0E7"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97</w:t>
            </w:r>
          </w:p>
        </w:tc>
      </w:tr>
      <w:tr w:rsidR="00562DE4" w:rsidRPr="00332F47" w14:paraId="5EF89010" w14:textId="77777777" w:rsidTr="00D10C67">
        <w:tc>
          <w:tcPr>
            <w:tcW w:w="2662"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6087CA28"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Total </w:t>
            </w:r>
          </w:p>
        </w:tc>
        <w:tc>
          <w:tcPr>
            <w:tcW w:w="1616" w:type="dxa"/>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5463459C"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69 out of 144</w:t>
            </w:r>
          </w:p>
        </w:tc>
        <w:tc>
          <w:tcPr>
            <w:tcW w:w="2763" w:type="dxa"/>
            <w:gridSpan w:val="2"/>
            <w:tcBorders>
              <w:top w:val="single" w:sz="6" w:space="0" w:color="CCCCCC"/>
              <w:left w:val="single" w:sz="6" w:space="0" w:color="CCCCCC"/>
              <w:bottom w:val="single" w:sz="6" w:space="0" w:color="CCCCCC"/>
              <w:right w:val="single" w:sz="6" w:space="0" w:color="CCCCCC"/>
            </w:tcBorders>
            <w:shd w:val="clear" w:color="auto" w:fill="FFFFFF"/>
            <w:tcMar>
              <w:top w:w="90" w:type="dxa"/>
              <w:left w:w="150" w:type="dxa"/>
              <w:bottom w:w="90" w:type="dxa"/>
              <w:right w:w="150" w:type="dxa"/>
            </w:tcMar>
            <w:vAlign w:val="center"/>
            <w:hideMark/>
          </w:tcPr>
          <w:p w14:paraId="7F724CC8" w14:textId="77777777" w:rsidR="00562DE4" w:rsidRPr="00332F47" w:rsidRDefault="00562DE4" w:rsidP="00D10C67">
            <w:pPr>
              <w:spacing w:line="276" w:lineRule="auto"/>
              <w:jc w:val="both"/>
              <w:rPr>
                <w:rFonts w:ascii="Garamond" w:hAnsi="Garamond" w:cs="Calibri"/>
                <w:color w:val="111111"/>
                <w:lang w:val="en-US"/>
              </w:rPr>
            </w:pPr>
            <w:r w:rsidRPr="00332F47">
              <w:rPr>
                <w:rFonts w:ascii="Garamond" w:hAnsi="Garamond" w:cs="Calibri"/>
                <w:color w:val="111111"/>
                <w:lang w:val="en-US"/>
              </w:rPr>
              <w:t>48 out of 115</w:t>
            </w:r>
          </w:p>
        </w:tc>
      </w:tr>
    </w:tbl>
    <w:p w14:paraId="00BB95F3" w14:textId="77777777" w:rsidR="00562DE4" w:rsidRPr="00332F47" w:rsidRDefault="00562DE4" w:rsidP="00562DE4">
      <w:pPr>
        <w:pStyle w:val="NormalWeb"/>
        <w:shd w:val="clear" w:color="auto" w:fill="FFFFFF"/>
        <w:spacing w:before="0" w:beforeAutospacing="0" w:after="150" w:afterAutospacing="0" w:line="276" w:lineRule="auto"/>
        <w:jc w:val="both"/>
        <w:textAlignment w:val="baseline"/>
        <w:rPr>
          <w:rFonts w:ascii="Garamond" w:hAnsi="Garamond" w:cs="Calibri"/>
          <w:color w:val="111111"/>
          <w:lang w:val="en-US"/>
        </w:rPr>
      </w:pPr>
    </w:p>
    <w:p w14:paraId="3774407A" w14:textId="77777777" w:rsidR="00562DE4" w:rsidRPr="00332F47" w:rsidRDefault="00562DE4" w:rsidP="00562DE4">
      <w:pPr>
        <w:pStyle w:val="NormalWeb"/>
        <w:shd w:val="clear" w:color="auto" w:fill="FFFFFF"/>
        <w:spacing w:before="0" w:beforeAutospacing="0" w:after="150" w:afterAutospacing="0" w:line="259" w:lineRule="auto"/>
        <w:jc w:val="both"/>
        <w:textAlignment w:val="baseline"/>
        <w:rPr>
          <w:rFonts w:ascii="Garamond" w:hAnsi="Garamond" w:cs="Calibri"/>
          <w:color w:val="111111"/>
          <w:lang w:val="en-US"/>
        </w:rPr>
      </w:pPr>
      <w:r w:rsidRPr="00332F47">
        <w:rPr>
          <w:rFonts w:ascii="Garamond" w:hAnsi="Garamond" w:cs="Calibri"/>
          <w:color w:val="111111"/>
          <w:lang w:val="en-US"/>
        </w:rPr>
        <w:t>According to the results of that study, Ukraine traditionally has the best indicators in the field of access of both sexes to education. In particular, the report shows almost complete coverage of primary and secondary levels of education (primary and secondary education). As for higher education, women even have better indicators (in the proportion of 88 to 77). Indexes of women’s economic and political participation are significantly worse. The lowest is the number of women deputies (12 %) of the national parliament and local representative bodies, at the highest positions of executive power or in local government bodies.</w:t>
      </w:r>
    </w:p>
    <w:p w14:paraId="01DA60D1" w14:textId="77777777" w:rsidR="00562DE4" w:rsidRPr="00332F47" w:rsidRDefault="00562DE4" w:rsidP="00562DE4">
      <w:pPr>
        <w:pStyle w:val="NormalWeb"/>
        <w:shd w:val="clear" w:color="auto" w:fill="FFFFFF"/>
        <w:spacing w:before="0" w:beforeAutospacing="0" w:after="150" w:afterAutospacing="0" w:line="259" w:lineRule="auto"/>
        <w:jc w:val="both"/>
        <w:textAlignment w:val="baseline"/>
        <w:rPr>
          <w:rFonts w:ascii="Garamond" w:hAnsi="Garamond" w:cs="Calibri"/>
          <w:color w:val="111111"/>
          <w:lang w:val="en-US"/>
        </w:rPr>
      </w:pPr>
      <w:r w:rsidRPr="00332F47">
        <w:rPr>
          <w:rFonts w:ascii="Garamond" w:hAnsi="Garamond" w:cs="Calibri"/>
          <w:color w:val="111111"/>
          <w:lang w:val="en-US"/>
        </w:rPr>
        <w:t>The development of the legal framework for regulating gender policy in Ukraine began in 1980 with the ratification of the UN «Convention on the Elimination of All Forms of Discrimination against Women». In 2000, the UN «Millennium Development Goals» (mandatory for implementation until 2015) were ratified, among which the goal of «ensuring gender equality» was defined. Within the framework of this goal, Ukraine has set two tasks:</w:t>
      </w:r>
    </w:p>
    <w:p w14:paraId="31C0DE5C" w14:textId="77777777" w:rsidR="00562DE4" w:rsidRPr="00332F47" w:rsidRDefault="00562DE4" w:rsidP="00562DE4">
      <w:pPr>
        <w:numPr>
          <w:ilvl w:val="0"/>
          <w:numId w:val="1"/>
        </w:numPr>
        <w:shd w:val="clear" w:color="auto" w:fill="FFFFFF"/>
        <w:spacing w:line="259" w:lineRule="auto"/>
        <w:ind w:left="360"/>
        <w:jc w:val="both"/>
        <w:textAlignment w:val="baseline"/>
        <w:rPr>
          <w:rFonts w:ascii="Garamond" w:hAnsi="Garamond" w:cs="Calibri"/>
          <w:color w:val="111111"/>
          <w:lang w:val="en-US"/>
        </w:rPr>
      </w:pPr>
      <w:r w:rsidRPr="00332F47">
        <w:rPr>
          <w:rFonts w:ascii="Garamond" w:hAnsi="Garamond" w:cs="Calibri"/>
          <w:color w:val="111111"/>
          <w:lang w:val="en-US"/>
        </w:rPr>
        <w:t>Ensure gender balance at the level of at least 30 to 70 % of one or another gender in representative bodies of government and higher levels of executive power.</w:t>
      </w:r>
    </w:p>
    <w:p w14:paraId="4F1F3E40" w14:textId="77777777" w:rsidR="00562DE4" w:rsidRPr="00332F47" w:rsidRDefault="00562DE4" w:rsidP="00562DE4">
      <w:pPr>
        <w:numPr>
          <w:ilvl w:val="0"/>
          <w:numId w:val="1"/>
        </w:numPr>
        <w:shd w:val="clear" w:color="auto" w:fill="FFFFFF"/>
        <w:spacing w:line="259" w:lineRule="auto"/>
        <w:ind w:left="360"/>
        <w:jc w:val="both"/>
        <w:textAlignment w:val="baseline"/>
        <w:rPr>
          <w:rFonts w:ascii="Garamond" w:hAnsi="Garamond" w:cs="Calibri"/>
          <w:color w:val="111111"/>
          <w:lang w:val="en-US"/>
        </w:rPr>
      </w:pPr>
      <w:r w:rsidRPr="00332F47">
        <w:rPr>
          <w:rFonts w:ascii="Garamond" w:hAnsi="Garamond" w:cs="Calibri"/>
          <w:color w:val="111111"/>
          <w:lang w:val="en-US"/>
        </w:rPr>
        <w:t>Halve the income gap between women and men.</w:t>
      </w:r>
    </w:p>
    <w:p w14:paraId="7CA3EB06" w14:textId="77777777" w:rsidR="00562DE4" w:rsidRPr="00332F47" w:rsidRDefault="00562DE4" w:rsidP="00562DE4">
      <w:pPr>
        <w:pStyle w:val="NormalWeb"/>
        <w:shd w:val="clear" w:color="auto" w:fill="FFFFFF"/>
        <w:spacing w:before="0" w:beforeAutospacing="0" w:after="150" w:afterAutospacing="0" w:line="259" w:lineRule="auto"/>
        <w:jc w:val="both"/>
        <w:textAlignment w:val="baseline"/>
        <w:rPr>
          <w:rFonts w:ascii="Garamond" w:hAnsi="Garamond" w:cs="Calibri"/>
          <w:color w:val="111111"/>
          <w:lang w:val="en-US"/>
        </w:rPr>
      </w:pPr>
      <w:r w:rsidRPr="00332F47">
        <w:rPr>
          <w:rFonts w:ascii="Garamond" w:hAnsi="Garamond" w:cs="Calibri"/>
          <w:color w:val="111111"/>
          <w:lang w:val="en-US"/>
        </w:rPr>
        <w:t>Those tasks were aimed at ensuring gender equality in the political sphere and the labor market in Ukraine.</w:t>
      </w:r>
    </w:p>
    <w:p w14:paraId="377C33DA" w14:textId="77777777" w:rsidR="00562DE4" w:rsidRPr="00332F47" w:rsidRDefault="00562DE4" w:rsidP="00562DE4">
      <w:pPr>
        <w:pStyle w:val="NormalWeb"/>
        <w:shd w:val="clear" w:color="auto" w:fill="FFFFFF"/>
        <w:spacing w:before="0" w:beforeAutospacing="0" w:after="150" w:afterAutospacing="0" w:line="259" w:lineRule="auto"/>
        <w:jc w:val="both"/>
        <w:textAlignment w:val="baseline"/>
        <w:rPr>
          <w:rFonts w:ascii="Garamond" w:hAnsi="Garamond" w:cs="Calibri"/>
          <w:color w:val="111111"/>
          <w:lang w:val="en-US"/>
        </w:rPr>
      </w:pPr>
      <w:r w:rsidRPr="00332F47">
        <w:rPr>
          <w:rFonts w:ascii="Garamond" w:hAnsi="Garamond" w:cs="Calibri"/>
          <w:color w:val="111111"/>
          <w:lang w:val="en-US"/>
        </w:rPr>
        <w:t>At the national level, gender equality is guaranteed, first of all, by the Constitution of Ukraine, the Code of Labor Laws of Ukraine, and the separate Law of Ukraine «On Ensuring Equal Rights and Opportunities for Women and Men» (2005), the Decree of the Cabinet of Ministers of Ukraine «On Approving the State Program for Ensuring Equal Rights and Opportunities for Women and Men for the period until 2016» and other legislative acts. The Association Agreement with the European Union became a new impetus for the development of gender policy in Ukraine. Ensuring equal opportunities for women and men, combating discrimination are important goals of cooperation as defined in the Agreement. These principles, combined with the implementation of the best EU practices, have made it possible to prepare a result-oriented «State Program for the Equal Rights and Opportunities of Women and Men for the Period until 2016». In August 2016, the Ministry of Social Policy promulgated the draft of the «Concept of the State Program for the Equal Rights and Opportunities of Women and Men for the period up to 2021».</w:t>
      </w:r>
    </w:p>
    <w:p w14:paraId="32DDF09D" w14:textId="77777777" w:rsidR="00562DE4" w:rsidRPr="00332F47" w:rsidRDefault="00562DE4" w:rsidP="00562DE4">
      <w:pPr>
        <w:pStyle w:val="ConsPlusNormal"/>
        <w:spacing w:after="120" w:line="259" w:lineRule="auto"/>
        <w:jc w:val="both"/>
        <w:rPr>
          <w:rFonts w:ascii="Garamond" w:hAnsi="Garamond"/>
          <w:sz w:val="24"/>
          <w:szCs w:val="24"/>
          <w:lang w:val="en-US"/>
        </w:rPr>
      </w:pPr>
      <w:r w:rsidRPr="00332F47">
        <w:rPr>
          <w:rFonts w:ascii="Garamond" w:hAnsi="Garamond"/>
          <w:sz w:val="24"/>
          <w:szCs w:val="24"/>
          <w:lang w:val="en-US"/>
        </w:rPr>
        <w:t>In order to assess participation of women in surface water resources use, a comparison was made between the share of women in the following organizations dealing with surface water management</w:t>
      </w:r>
      <w:r>
        <w:rPr>
          <w:rFonts w:ascii="Garamond" w:hAnsi="Garamond"/>
          <w:sz w:val="24"/>
          <w:szCs w:val="24"/>
          <w:lang w:val="en-US"/>
        </w:rPr>
        <w:t xml:space="preserve">. The assessment </w:t>
      </w:r>
    </w:p>
    <w:p w14:paraId="07647647" w14:textId="77777777" w:rsidR="00562DE4" w:rsidRPr="00332F47" w:rsidRDefault="00562DE4" w:rsidP="00562DE4">
      <w:pPr>
        <w:pStyle w:val="ConsPlusNormal"/>
        <w:numPr>
          <w:ilvl w:val="0"/>
          <w:numId w:val="2"/>
        </w:numPr>
        <w:spacing w:after="120" w:line="259" w:lineRule="auto"/>
        <w:jc w:val="both"/>
        <w:rPr>
          <w:rFonts w:ascii="Garamond" w:hAnsi="Garamond"/>
          <w:sz w:val="24"/>
          <w:szCs w:val="24"/>
          <w:lang w:val="en-US"/>
        </w:rPr>
      </w:pPr>
      <w:r w:rsidRPr="00332F47">
        <w:rPr>
          <w:rFonts w:ascii="Garamond" w:hAnsi="Garamond"/>
          <w:sz w:val="24"/>
          <w:szCs w:val="24"/>
          <w:lang w:val="en-US"/>
        </w:rPr>
        <w:t>Ministry of Ecology and Natural Resources of Ukraine (MENR) – national level</w:t>
      </w:r>
    </w:p>
    <w:p w14:paraId="341A40F5" w14:textId="77777777" w:rsidR="00562DE4" w:rsidRPr="00332F47" w:rsidRDefault="00562DE4" w:rsidP="00562DE4">
      <w:pPr>
        <w:pStyle w:val="ConsPlusNormal"/>
        <w:numPr>
          <w:ilvl w:val="0"/>
          <w:numId w:val="2"/>
        </w:numPr>
        <w:spacing w:after="120" w:line="259" w:lineRule="auto"/>
        <w:jc w:val="both"/>
        <w:rPr>
          <w:rFonts w:ascii="Garamond" w:hAnsi="Garamond"/>
          <w:sz w:val="24"/>
          <w:szCs w:val="24"/>
          <w:lang w:val="en-US"/>
        </w:rPr>
      </w:pPr>
      <w:r w:rsidRPr="00332F47">
        <w:rPr>
          <w:rFonts w:ascii="Garamond" w:hAnsi="Garamond"/>
          <w:sz w:val="24"/>
          <w:szCs w:val="24"/>
          <w:lang w:val="en-US"/>
        </w:rPr>
        <w:t>Basin authorities of Dnipro and Southern Bug.</w:t>
      </w:r>
    </w:p>
    <w:p w14:paraId="6E3AD590" w14:textId="77777777" w:rsidR="00562DE4" w:rsidRPr="00332F47" w:rsidRDefault="00562DE4" w:rsidP="00562DE4">
      <w:pPr>
        <w:spacing w:line="276" w:lineRule="auto"/>
        <w:jc w:val="both"/>
        <w:rPr>
          <w:lang w:val="en-US"/>
        </w:rPr>
      </w:pPr>
      <w:r w:rsidRPr="00332F47">
        <w:rPr>
          <w:noProof/>
          <w:lang w:eastAsia="zh-CN"/>
        </w:rPr>
        <w:drawing>
          <wp:inline distT="0" distB="0" distL="0" distR="0" wp14:anchorId="2C737DF9" wp14:editId="65B47E3D">
            <wp:extent cx="5469255" cy="419227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69255" cy="4192270"/>
                    </a:xfrm>
                    <a:prstGeom prst="rect">
                      <a:avLst/>
                    </a:prstGeom>
                    <a:noFill/>
                    <a:ln>
                      <a:noFill/>
                    </a:ln>
                  </pic:spPr>
                </pic:pic>
              </a:graphicData>
            </a:graphic>
          </wp:inline>
        </w:drawing>
      </w:r>
    </w:p>
    <w:p w14:paraId="621FD7FE" w14:textId="77777777" w:rsidR="00562DE4" w:rsidRPr="00420BE0" w:rsidRDefault="00562DE4" w:rsidP="00562DE4">
      <w:pPr>
        <w:rPr>
          <w:lang w:val="en-US"/>
        </w:rPr>
      </w:pPr>
    </w:p>
    <w:p w14:paraId="7AAE0DA7" w14:textId="77777777" w:rsidR="00E6580C" w:rsidRDefault="00E6580C"/>
    <w:sectPr w:rsidR="00E6580C" w:rsidSect="00646D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Helvetica-Bold">
    <w:panose1 w:val="00000000000000000000"/>
    <w:charset w:val="CC"/>
    <w:family w:val="auto"/>
    <w:notTrueType/>
    <w:pitch w:val="default"/>
    <w:sig w:usb0="00000201" w:usb1="00000000" w:usb2="00000000" w:usb3="00000000" w:csb0="00000004" w:csb1="00000000"/>
  </w:font>
  <w:font w:name="Helvetica">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B3E59"/>
    <w:multiLevelType w:val="multilevel"/>
    <w:tmpl w:val="1FB6E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1A6702"/>
    <w:multiLevelType w:val="hybridMultilevel"/>
    <w:tmpl w:val="DB18DE0A"/>
    <w:lvl w:ilvl="0" w:tplc="5A1E92F8">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DE4"/>
    <w:rsid w:val="001006C1"/>
    <w:rsid w:val="001106A2"/>
    <w:rsid w:val="001542FA"/>
    <w:rsid w:val="001611DB"/>
    <w:rsid w:val="00182A4C"/>
    <w:rsid w:val="00277CF6"/>
    <w:rsid w:val="00334CD9"/>
    <w:rsid w:val="0039659A"/>
    <w:rsid w:val="003A292D"/>
    <w:rsid w:val="00550263"/>
    <w:rsid w:val="00562DE4"/>
    <w:rsid w:val="00593BA6"/>
    <w:rsid w:val="005E515A"/>
    <w:rsid w:val="00792714"/>
    <w:rsid w:val="007A2870"/>
    <w:rsid w:val="007A6D50"/>
    <w:rsid w:val="008527D3"/>
    <w:rsid w:val="00864D4E"/>
    <w:rsid w:val="0096612D"/>
    <w:rsid w:val="0098589E"/>
    <w:rsid w:val="00A01059"/>
    <w:rsid w:val="00A34FB1"/>
    <w:rsid w:val="00A56CE9"/>
    <w:rsid w:val="00A71C65"/>
    <w:rsid w:val="00A97D8E"/>
    <w:rsid w:val="00AC0E28"/>
    <w:rsid w:val="00B1285E"/>
    <w:rsid w:val="00B15751"/>
    <w:rsid w:val="00B3147B"/>
    <w:rsid w:val="00BB533B"/>
    <w:rsid w:val="00CB7C49"/>
    <w:rsid w:val="00D02DEA"/>
    <w:rsid w:val="00D53EF6"/>
    <w:rsid w:val="00D706DB"/>
    <w:rsid w:val="00E621D0"/>
    <w:rsid w:val="00E6580C"/>
    <w:rsid w:val="00F408B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7731C"/>
  <w15:chartTrackingRefBased/>
  <w15:docId w15:val="{B8277A3E-4227-4E8E-9A0A-4B43B60F4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2DE4"/>
    <w:pPr>
      <w:spacing w:after="0" w:line="240" w:lineRule="auto"/>
    </w:pPr>
    <w:rPr>
      <w:rFonts w:ascii="Times New Roman" w:eastAsia="Times New Roman" w:hAnsi="Times New Roman" w:cs="Times New Roman"/>
      <w:sz w:val="24"/>
      <w:szCs w:val="24"/>
      <w:lang w:val="fr-FR"/>
    </w:rPr>
  </w:style>
  <w:style w:type="paragraph" w:styleId="Heading2">
    <w:name w:val="heading 2"/>
    <w:basedOn w:val="Normal"/>
    <w:next w:val="Normal"/>
    <w:link w:val="Heading2Char"/>
    <w:uiPriority w:val="9"/>
    <w:unhideWhenUsed/>
    <w:qFormat/>
    <w:rsid w:val="00562DE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62DE4"/>
    <w:rPr>
      <w:rFonts w:asciiTheme="majorHAnsi" w:eastAsiaTheme="majorEastAsia" w:hAnsiTheme="majorHAnsi" w:cstheme="majorBidi"/>
      <w:color w:val="2F5496" w:themeColor="accent1" w:themeShade="BF"/>
      <w:sz w:val="26"/>
      <w:szCs w:val="26"/>
      <w:lang w:val="fr-FR"/>
    </w:rPr>
  </w:style>
  <w:style w:type="character" w:styleId="Hyperlink">
    <w:name w:val="Hyperlink"/>
    <w:uiPriority w:val="99"/>
    <w:rsid w:val="00562DE4"/>
    <w:rPr>
      <w:rFonts w:cs="Times New Roman"/>
      <w:color w:val="0000FF"/>
      <w:u w:val="single"/>
    </w:rPr>
  </w:style>
  <w:style w:type="paragraph" w:styleId="NormalWeb">
    <w:name w:val="Normal (Web)"/>
    <w:aliases w:val=" webb"/>
    <w:basedOn w:val="Normal"/>
    <w:uiPriority w:val="99"/>
    <w:unhideWhenUsed/>
    <w:rsid w:val="00562DE4"/>
    <w:pPr>
      <w:spacing w:before="100" w:beforeAutospacing="1" w:after="100" w:afterAutospacing="1"/>
    </w:pPr>
  </w:style>
  <w:style w:type="character" w:styleId="Strong">
    <w:name w:val="Strong"/>
    <w:basedOn w:val="DefaultParagraphFont"/>
    <w:uiPriority w:val="22"/>
    <w:qFormat/>
    <w:rsid w:val="00562DE4"/>
    <w:rPr>
      <w:rFonts w:cs="Times New Roman"/>
      <w:b/>
      <w:bCs/>
    </w:rPr>
  </w:style>
  <w:style w:type="paragraph" w:customStyle="1" w:styleId="Default">
    <w:name w:val="Default"/>
    <w:rsid w:val="00562DE4"/>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bidi="mr-IN"/>
    </w:rPr>
  </w:style>
  <w:style w:type="paragraph" w:customStyle="1" w:styleId="ConsPlusNormal">
    <w:name w:val="ConsPlusNormal"/>
    <w:rsid w:val="00562DE4"/>
    <w:pPr>
      <w:widowControl w:val="0"/>
      <w:autoSpaceDE w:val="0"/>
      <w:autoSpaceDN w:val="0"/>
      <w:spacing w:after="0" w:line="240" w:lineRule="auto"/>
    </w:pPr>
    <w:rPr>
      <w:rFonts w:ascii="Calibri" w:eastAsia="Calibri" w:hAnsi="Calibri" w:cs="Calibri"/>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ustomXml" Target="../customXml/item3.xml"/><Relationship Id="rId5" Type="http://schemas.openxmlformats.org/officeDocument/2006/relationships/hyperlink" Target="http://reports.weforum.org/global-gender-gap-report-2016/economies/"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5876_ANNEX G</DocumentTitle>
  </documentManagement>
</p:properties>
</file>

<file path=customXml/itemProps1.xml><?xml version="1.0" encoding="utf-8"?>
<ds:datastoreItem xmlns:ds="http://schemas.openxmlformats.org/officeDocument/2006/customXml" ds:itemID="{B3B400BC-EBBA-4EA1-9C1F-C80E091F1D8C}"/>
</file>

<file path=customXml/itemProps2.xml><?xml version="1.0" encoding="utf-8"?>
<ds:datastoreItem xmlns:ds="http://schemas.openxmlformats.org/officeDocument/2006/customXml" ds:itemID="{D44EC7A9-B3E6-4D9A-A33C-849A59AF8B6E}"/>
</file>

<file path=customXml/itemProps3.xml><?xml version="1.0" encoding="utf-8"?>
<ds:datastoreItem xmlns:ds="http://schemas.openxmlformats.org/officeDocument/2006/customXml" ds:itemID="{7EDE820A-245C-449B-BA87-C24812656089}"/>
</file>

<file path=docProps/app.xml><?xml version="1.0" encoding="utf-8"?>
<Properties xmlns="http://schemas.openxmlformats.org/officeDocument/2006/extended-properties" xmlns:vt="http://schemas.openxmlformats.org/officeDocument/2006/docPropsVTypes">
  <Template>Normal.dotm</Template>
  <TotalTime>1</TotalTime>
  <Pages>4</Pages>
  <Words>1031</Words>
  <Characters>5880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 Urlandova</dc:creator>
  <cp:keywords/>
  <dc:description/>
  <cp:lastModifiedBy>Carline Jean-Louis</cp:lastModifiedBy>
  <cp:revision>2</cp:revision>
  <dcterms:created xsi:type="dcterms:W3CDTF">2019-05-23T19:24:00Z</dcterms:created>
  <dcterms:modified xsi:type="dcterms:W3CDTF">2019-05-23T19:24:00Z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